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A8" w:rsidRDefault="00650DD0">
      <w:pPr>
        <w:spacing w:after="184" w:line="259" w:lineRule="auto"/>
        <w:ind w:left="0" w:firstLine="0"/>
      </w:pPr>
      <w:bookmarkStart w:id="0" w:name="_GoBack"/>
      <w:bookmarkEnd w:id="0"/>
      <w:r>
        <w:rPr>
          <w:b/>
          <w:sz w:val="20"/>
          <w:u w:val="single" w:color="000000"/>
        </w:rPr>
        <w:t>Wyłączenia:</w:t>
      </w:r>
      <w:r>
        <w:rPr>
          <w:b/>
          <w:sz w:val="20"/>
        </w:rPr>
        <w:t xml:space="preserve"> </w:t>
      </w:r>
    </w:p>
    <w:p w:rsidR="002839A8" w:rsidRDefault="00650DD0">
      <w:pPr>
        <w:spacing w:after="125" w:line="277" w:lineRule="auto"/>
        <w:ind w:left="0" w:firstLine="0"/>
      </w:pPr>
      <w:r>
        <w:rPr>
          <w:sz w:val="20"/>
        </w:rPr>
        <w:t>Nie ponosimy odpowiedzialności z ubezpieczenia kosztów leczenia, odpowiedzialności cywilnej i następstw nieszczęśliwych wypadków za szkody powstałe:</w:t>
      </w:r>
      <w:r>
        <w:rPr>
          <w:sz w:val="20"/>
        </w:rPr>
        <w:t xml:space="preserve"> </w:t>
      </w:r>
    </w:p>
    <w:p w:rsidR="002839A8" w:rsidRDefault="00650DD0">
      <w:pPr>
        <w:numPr>
          <w:ilvl w:val="0"/>
          <w:numId w:val="1"/>
        </w:numPr>
        <w:ind w:hanging="168"/>
      </w:pPr>
      <w:r>
        <w:t>w wyniku popełnienia lub usiłowania popełnienia przez ubezpieczonego przestępstwa albo samobójstwa;</w:t>
      </w:r>
      <w:r>
        <w:t xml:space="preserve"> </w:t>
      </w:r>
    </w:p>
    <w:p w:rsidR="002839A8" w:rsidRDefault="00650DD0">
      <w:pPr>
        <w:numPr>
          <w:ilvl w:val="0"/>
          <w:numId w:val="1"/>
        </w:numPr>
        <w:ind w:hanging="168"/>
      </w:pPr>
      <w:r>
        <w:t>w wyniku samookaleczenia;</w:t>
      </w:r>
      <w:r>
        <w:t xml:space="preserve"> </w:t>
      </w:r>
    </w:p>
    <w:p w:rsidR="002839A8" w:rsidRDefault="00650DD0">
      <w:pPr>
        <w:numPr>
          <w:ilvl w:val="0"/>
          <w:numId w:val="1"/>
        </w:numPr>
        <w:ind w:hanging="168"/>
      </w:pPr>
      <w:r>
        <w:t>w wyniku bójki;</w:t>
      </w:r>
      <w:r>
        <w:t xml:space="preserve"> </w:t>
      </w:r>
    </w:p>
    <w:p w:rsidR="002839A8" w:rsidRDefault="00650DD0">
      <w:pPr>
        <w:numPr>
          <w:ilvl w:val="0"/>
          <w:numId w:val="1"/>
        </w:numPr>
        <w:ind w:hanging="168"/>
      </w:pPr>
      <w:r>
        <w:t>w wyniku zakażenia wirusem HIV lub zachorowania na AIDS;</w:t>
      </w:r>
      <w:r>
        <w:t xml:space="preserve"> </w:t>
      </w:r>
    </w:p>
    <w:p w:rsidR="002839A8" w:rsidRDefault="00650DD0">
      <w:pPr>
        <w:numPr>
          <w:ilvl w:val="0"/>
          <w:numId w:val="1"/>
        </w:numPr>
        <w:ind w:hanging="168"/>
      </w:pPr>
      <w:r>
        <w:t>w wyniku zatrucia alkoholem, narkotykami, nikotyną lu</w:t>
      </w:r>
      <w:r>
        <w:t>b innymi środkami odurzającymi;</w:t>
      </w:r>
      <w:r>
        <w:t xml:space="preserve"> </w:t>
      </w:r>
    </w:p>
    <w:p w:rsidR="002839A8" w:rsidRDefault="00650DD0">
      <w:pPr>
        <w:numPr>
          <w:ilvl w:val="0"/>
          <w:numId w:val="1"/>
        </w:numPr>
        <w:ind w:hanging="168"/>
      </w:pPr>
      <w:r>
        <w:t xml:space="preserve">w wyniku wojny, konfliktu zbrojnego, działań wojennych (również bez formalnego wypowiedzenia wojny), inwazji lub wrogich działań innego państwa, aktów terroryzmu, stanu wojennego, stanu wyjątkowego, wojny domowej, rebelii, </w:t>
      </w:r>
      <w:r>
        <w:t>przewrotu, rewolucji; niniejsze wyłączenie dotyczy również analogicznych działań odbywających się w cyberprzestrzeni (cyber-wojna, cyber-terroryzm), strajków, niepokojów społecznych, zamieszek, rozruchów, sabotażu, lokautów;</w:t>
      </w:r>
      <w:r>
        <w:t xml:space="preserve"> </w:t>
      </w:r>
    </w:p>
    <w:p w:rsidR="002839A8" w:rsidRDefault="00650DD0">
      <w:pPr>
        <w:numPr>
          <w:ilvl w:val="0"/>
          <w:numId w:val="1"/>
        </w:numPr>
        <w:spacing w:after="121" w:line="325" w:lineRule="auto"/>
        <w:ind w:hanging="168"/>
      </w:pPr>
      <w:r>
        <w:t>wskutek prowadzenia przez ubez</w:t>
      </w:r>
      <w:r>
        <w:t>pieczonego pojazdu, w tym roweru bez wymaganych przez ustawę Prawo o ruchu drogowym lub innych przepisów prawa, uprawnień do kierowania pojazdem, chyba że nie miało to wpływu na powstanie szkody oraz prowadzenia pojazdu po spożyciu alkoholu, narkotyków lub</w:t>
      </w:r>
      <w:r>
        <w:t xml:space="preserve"> innych środków odurzających w ilościach przekraczających dopuszczalne normy obowiązujące w kraju zajścia wypadku, chyba że nie miało to wpływu na powstanie szkody;</w:t>
      </w:r>
      <w:r>
        <w:t xml:space="preserve"> </w:t>
      </w:r>
      <w:r>
        <w:t>8) podczas wykonywania czynności zawodowych przez personel wojskowy i paramilitarny;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w zwi</w:t>
      </w:r>
      <w:r>
        <w:t>ązku z uczestnictwem w ekspedycjach, z zastrzeżeniem postanowień § 22 ust. 3 pkt 3);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w wyniku uprawiania sportów ekstremalnych;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 xml:space="preserve">wskutek pozostawania ubezpieczonego w stanie nietrzeźwości lub w stanie po spożyciu alkoholu, chyba że nie miało to wpływu na </w:t>
      </w:r>
      <w:r>
        <w:t>powstanie szkody;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wskutek pozostawania ubezpieczonego pod wpływem narkotyków albo innych środków odurzających i podobnie działających, chyba że nie miało to wpływu na powstanie szkody;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na terytorium Iranu;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w związku z wyczynowym uprawianiem sportu, w za</w:t>
      </w:r>
      <w:r>
        <w:t>kresie uprawiania dyscyplin sportowych zaliczanych do klasy wyższego ryzyka, w rozumieniu postanowień § 21 ust. 1 pkt 2ab);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na skutek biernego udziału w atakach terrorystycznych, z zastrzeżeniem § 22 ust. 3 pkt 4) oraz § 56 ust. 4 pkt 5);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w wyniku zniszc</w:t>
      </w:r>
      <w:r>
        <w:t>zenia, konfiskaty, nacjonalizacji, przetrzymywania lub zarekwirowania mienia przez organy celne lub inne władze;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podczas jazd próbnych, rajdów oraz wyścigów samochodowych i motorowych;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podczas podróżowania statkami powietrznymi, z wyłączeniem przelotów w</w:t>
      </w:r>
      <w:r>
        <w:t xml:space="preserve"> charakterze pasażera, o ile lot wykonywany był zgodnie z obowiązującymi przepisami prawa;</w:t>
      </w:r>
      <w:r>
        <w:t xml:space="preserve"> </w:t>
      </w:r>
    </w:p>
    <w:p w:rsidR="002839A8" w:rsidRDefault="00650DD0">
      <w:pPr>
        <w:numPr>
          <w:ilvl w:val="0"/>
          <w:numId w:val="2"/>
        </w:numPr>
        <w:ind w:hanging="251"/>
      </w:pPr>
      <w:r>
        <w:t>w wyniku umyślnego działania ubezpieczonego oraz osób, za które ponosi on odpowiedzialność;</w:t>
      </w:r>
      <w:r>
        <w:t xml:space="preserve"> </w:t>
      </w:r>
    </w:p>
    <w:p w:rsidR="002839A8" w:rsidRDefault="00650DD0">
      <w:pPr>
        <w:numPr>
          <w:ilvl w:val="0"/>
          <w:numId w:val="2"/>
        </w:numPr>
        <w:spacing w:after="240"/>
        <w:ind w:hanging="251"/>
      </w:pPr>
      <w:r>
        <w:t>w następstwie działania energii jądrowej lub skażenia radioaktywnego, s</w:t>
      </w:r>
      <w:r>
        <w:t>ubstancji promieniotwórczych, pola magnetycznego i elektromagnetycznego oraz działania jakiejkolwiek broni chemicznej, biochemicznej, biologicznej lub elektromagnetycznej.</w:t>
      </w:r>
      <w:r>
        <w:t xml:space="preserve"> </w:t>
      </w:r>
    </w:p>
    <w:p w:rsidR="002839A8" w:rsidRDefault="00650DD0">
      <w:pPr>
        <w:spacing w:after="183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2839A8" w:rsidRDefault="00650DD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2839A8">
      <w:pgSz w:w="11906" w:h="16838"/>
      <w:pgMar w:top="1440" w:right="145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72686"/>
    <w:multiLevelType w:val="hybridMultilevel"/>
    <w:tmpl w:val="3B34A6E0"/>
    <w:lvl w:ilvl="0" w:tplc="873210C8">
      <w:start w:val="9"/>
      <w:numFmt w:val="decimal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09C6B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8C44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E6ED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40FB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FC3E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2581D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224C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DA857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35907"/>
    <w:multiLevelType w:val="hybridMultilevel"/>
    <w:tmpl w:val="36804740"/>
    <w:lvl w:ilvl="0" w:tplc="CE9CB560">
      <w:start w:val="1"/>
      <w:numFmt w:val="decimal"/>
      <w:lvlText w:val="%1)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40EF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A82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8ED3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ABA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F665B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5C43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F803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C0A2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A8"/>
    <w:rsid w:val="002839A8"/>
    <w:rsid w:val="006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DFB44-4D23-49B3-BB49-14726679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6" w:line="269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Salij-Kaczkowska</dc:creator>
  <cp:keywords/>
  <cp:lastModifiedBy>komp</cp:lastModifiedBy>
  <cp:revision>2</cp:revision>
  <dcterms:created xsi:type="dcterms:W3CDTF">2024-09-03T10:14:00Z</dcterms:created>
  <dcterms:modified xsi:type="dcterms:W3CDTF">2024-09-03T10:14:00Z</dcterms:modified>
</cp:coreProperties>
</file>